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184"/>
        <w:gridCol w:w="6946"/>
        <w:gridCol w:w="1360"/>
      </w:tblGrid>
      <w:tr w:rsidR="009135CE" w:rsidTr="00B51D76">
        <w:tc>
          <w:tcPr>
            <w:tcW w:w="2184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571604" w:rsidP="00A26ECD">
            <w:pPr>
              <w:pStyle w:val="a6"/>
              <w:jc w:val="center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1</w:t>
            </w:r>
            <w:r w:rsidR="00AE0545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10</w:t>
            </w:r>
            <w:r w:rsidR="009135CE" w:rsidRPr="00500EE3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C</w:t>
            </w:r>
          </w:p>
        </w:tc>
        <w:tc>
          <w:tcPr>
            <w:tcW w:w="6946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2C23CA" w:rsidRDefault="009135CE" w:rsidP="00C12362">
            <w:pPr>
              <w:rPr>
                <w:b/>
                <w:color w:val="000000" w:themeColor="text1"/>
                <w:lang w:val="en-US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360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-19133</wp:posOffset>
                  </wp:positionH>
                  <wp:positionV relativeFrom="paragraph">
                    <wp:posOffset>47818</wp:posOffset>
                  </wp:positionV>
                  <wp:extent cx="713436" cy="699715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36" cy="69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-193675</wp:posOffset>
                  </wp:positionH>
                  <wp:positionV relativeFrom="paragraph">
                    <wp:posOffset>86995</wp:posOffset>
                  </wp:positionV>
                  <wp:extent cx="1511935" cy="988695"/>
                  <wp:effectExtent l="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32188B" w:rsidRDefault="0032188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AE0545" w:rsidRDefault="00AE0545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88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AE0545" w:rsidRDefault="00AE0545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AE0545" w:rsidRDefault="00AE0545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80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F7322" w:rsidRDefault="00500EE3" w:rsidP="009F7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Cummins 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  <w:r w:rsidR="000951F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BT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0951F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.9</w:t>
            </w:r>
            <w:r w:rsidR="00AE0545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0951F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204470</wp:posOffset>
                  </wp:positionH>
                  <wp:positionV relativeFrom="paragraph">
                    <wp:posOffset>77470</wp:posOffset>
                  </wp:positionV>
                  <wp:extent cx="1926590" cy="988695"/>
                  <wp:effectExtent l="0" t="0" r="0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AE0545" w:rsidRDefault="0099616A" w:rsidP="00AE054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AE0545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274С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400/230 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1500об/мин – 50гц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AE0545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16,9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Промышленный двигатель жидкостного охлаждения CUMMINS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proofErr w:type="spellStart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Стальная опорная рама со встроенным топливным баком и опорами для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виброразвязки</w:t>
            </w:r>
            <w:proofErr w:type="spellEnd"/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Низкошумный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глушитель (для ДГУ в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шумозащитном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кожухе)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124BB4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Длина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24BB4" w:rsidRDefault="009F7322" w:rsidP="000951F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1900</w:t>
            </w:r>
            <w:r w:rsidR="0025244E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мм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24BB4" w:rsidRDefault="009F7322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2600</w:t>
            </w:r>
            <w:r w:rsidR="00571604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мм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124BB4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Ширина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24BB4" w:rsidRDefault="00AE0545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950</w:t>
            </w:r>
            <w:r w:rsidR="00571604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мм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24BB4" w:rsidRDefault="009F7322" w:rsidP="009F732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 xml:space="preserve">1050 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мм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124BB4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Высота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24BB4" w:rsidRDefault="00AE0545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1400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 xml:space="preserve"> мм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24BB4" w:rsidRDefault="00AE0545" w:rsidP="009F732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1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252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 xml:space="preserve"> мм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124BB4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Вес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24BB4" w:rsidRDefault="009F7322" w:rsidP="009D175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990</w:t>
            </w:r>
            <w:r w:rsidR="00A26ECD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кг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24BB4" w:rsidRDefault="009F7322" w:rsidP="00B2352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13</w:t>
            </w:r>
            <w:r w:rsidR="00B23525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48</w:t>
            </w:r>
            <w:bookmarkStart w:id="0" w:name="_GoBack"/>
            <w:bookmarkEnd w:id="0"/>
            <w:r w:rsidR="00A26ECD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09231E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кг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124BB4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Встроенный топливный бак</w:t>
            </w:r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24BB4" w:rsidRDefault="009F7322" w:rsidP="0025244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125</w:t>
            </w:r>
            <w:r w:rsidR="003A03CF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3A03CF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л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24BB4" w:rsidRDefault="00AE0545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>2</w:t>
            </w:r>
            <w:r w:rsidR="00A26ECD">
              <w:rPr>
                <w:rFonts w:ascii="Verdana" w:hAnsi="Verdana" w:cstheme="minorHAnsi"/>
                <w:color w:val="404040" w:themeColor="text1" w:themeTint="BF"/>
                <w:sz w:val="20"/>
                <w:szCs w:val="20"/>
                <w:lang w:val="en-US"/>
              </w:rPr>
              <w:t>0</w:t>
            </w:r>
            <w:r w:rsidR="003A03CF" w:rsidRPr="00124BB4"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  <w:t xml:space="preserve"> л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5D4B50" w:rsidP="00A26EC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4A09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CUMMINS 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BT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.9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</w:t>
            </w:r>
            <w:r w:rsid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9F7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  <w:proofErr w:type="spellEnd"/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25244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25244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</w:t>
            </w: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25244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57160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7160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02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х1</w:t>
            </w:r>
            <w:r w:rsidR="0057160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71604" w:rsidP="0057160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 об/мин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110%-100%-75%-50%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AE0545" w:rsidP="00AE054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23,6-22,3-16,9-11,3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9F7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8,3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9F7322" w:rsidP="003E0D9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10,9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866F6D" w:rsidP="00AE054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AE0545" w:rsidRPr="009F7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AE0545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274С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9F7322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t=-200С ÷ +700С,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15" w:rsidRDefault="009A3915" w:rsidP="00B0479A">
      <w:pPr>
        <w:spacing w:after="0" w:line="240" w:lineRule="auto"/>
      </w:pPr>
      <w:r>
        <w:separator/>
      </w:r>
    </w:p>
  </w:endnote>
  <w:endnote w:type="continuationSeparator" w:id="0">
    <w:p w:rsidR="009A3915" w:rsidRDefault="009A3915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Pr="00CB2B5F" w:rsidRDefault="00124BB4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24BB4" w:rsidRPr="009D6B6B" w:rsidRDefault="00124BB4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15" w:rsidRDefault="009A3915" w:rsidP="00B0479A">
      <w:pPr>
        <w:spacing w:after="0" w:line="240" w:lineRule="auto"/>
      </w:pPr>
      <w:r>
        <w:separator/>
      </w:r>
    </w:p>
  </w:footnote>
  <w:footnote w:type="continuationSeparator" w:id="0">
    <w:p w:rsidR="009A3915" w:rsidRDefault="009A3915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Default="00AD79B5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82D6E"/>
    <w:rsid w:val="00085E81"/>
    <w:rsid w:val="0009231E"/>
    <w:rsid w:val="000951F4"/>
    <w:rsid w:val="00124BB4"/>
    <w:rsid w:val="00131457"/>
    <w:rsid w:val="00146494"/>
    <w:rsid w:val="00153A51"/>
    <w:rsid w:val="00182744"/>
    <w:rsid w:val="001B476C"/>
    <w:rsid w:val="001F676B"/>
    <w:rsid w:val="0025244E"/>
    <w:rsid w:val="0025387D"/>
    <w:rsid w:val="00257667"/>
    <w:rsid w:val="00275C8C"/>
    <w:rsid w:val="002973F0"/>
    <w:rsid w:val="002C23CA"/>
    <w:rsid w:val="002E20F2"/>
    <w:rsid w:val="002E299F"/>
    <w:rsid w:val="002F493A"/>
    <w:rsid w:val="0032188B"/>
    <w:rsid w:val="003836BE"/>
    <w:rsid w:val="003A03CF"/>
    <w:rsid w:val="003A7926"/>
    <w:rsid w:val="003C68E4"/>
    <w:rsid w:val="003E0D98"/>
    <w:rsid w:val="004237C2"/>
    <w:rsid w:val="00461209"/>
    <w:rsid w:val="004A09CA"/>
    <w:rsid w:val="004A3E5E"/>
    <w:rsid w:val="004D4FD9"/>
    <w:rsid w:val="004E30E5"/>
    <w:rsid w:val="004F6A16"/>
    <w:rsid w:val="00500EE3"/>
    <w:rsid w:val="00505013"/>
    <w:rsid w:val="00536B23"/>
    <w:rsid w:val="00571604"/>
    <w:rsid w:val="00594434"/>
    <w:rsid w:val="005A29D6"/>
    <w:rsid w:val="005C1963"/>
    <w:rsid w:val="005D4B50"/>
    <w:rsid w:val="005F3D4F"/>
    <w:rsid w:val="00653E61"/>
    <w:rsid w:val="00696449"/>
    <w:rsid w:val="006B3F2E"/>
    <w:rsid w:val="006B5FB0"/>
    <w:rsid w:val="006C41C8"/>
    <w:rsid w:val="006C4CF4"/>
    <w:rsid w:val="006D76FE"/>
    <w:rsid w:val="00702149"/>
    <w:rsid w:val="007602DD"/>
    <w:rsid w:val="00783B5D"/>
    <w:rsid w:val="007A5F58"/>
    <w:rsid w:val="007F0336"/>
    <w:rsid w:val="0080777A"/>
    <w:rsid w:val="00826C54"/>
    <w:rsid w:val="00866F6D"/>
    <w:rsid w:val="008A0BCB"/>
    <w:rsid w:val="008B04AC"/>
    <w:rsid w:val="008F1486"/>
    <w:rsid w:val="0090156F"/>
    <w:rsid w:val="0090749C"/>
    <w:rsid w:val="009135CE"/>
    <w:rsid w:val="009713A3"/>
    <w:rsid w:val="00982C78"/>
    <w:rsid w:val="0099616A"/>
    <w:rsid w:val="00996A74"/>
    <w:rsid w:val="009A3915"/>
    <w:rsid w:val="009B2A15"/>
    <w:rsid w:val="009D1757"/>
    <w:rsid w:val="009D6B6B"/>
    <w:rsid w:val="009F7322"/>
    <w:rsid w:val="00A169A1"/>
    <w:rsid w:val="00A26ECD"/>
    <w:rsid w:val="00A35F96"/>
    <w:rsid w:val="00A40D6F"/>
    <w:rsid w:val="00A7044C"/>
    <w:rsid w:val="00A72E54"/>
    <w:rsid w:val="00AD0A27"/>
    <w:rsid w:val="00AD5D14"/>
    <w:rsid w:val="00AD79B5"/>
    <w:rsid w:val="00AE0545"/>
    <w:rsid w:val="00B0479A"/>
    <w:rsid w:val="00B23525"/>
    <w:rsid w:val="00B27DE9"/>
    <w:rsid w:val="00B51D76"/>
    <w:rsid w:val="00B95938"/>
    <w:rsid w:val="00BA604F"/>
    <w:rsid w:val="00C12362"/>
    <w:rsid w:val="00C41C65"/>
    <w:rsid w:val="00C5770D"/>
    <w:rsid w:val="00C6776F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51A93"/>
    <w:rsid w:val="00D54E95"/>
    <w:rsid w:val="00DB2B16"/>
    <w:rsid w:val="00DB5516"/>
    <w:rsid w:val="00DC517B"/>
    <w:rsid w:val="00DD3420"/>
    <w:rsid w:val="00DE079A"/>
    <w:rsid w:val="00E14356"/>
    <w:rsid w:val="00E14D66"/>
    <w:rsid w:val="00E318A0"/>
    <w:rsid w:val="00EA2E67"/>
    <w:rsid w:val="00F76EBB"/>
    <w:rsid w:val="00F83D41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148A8-505D-4DB6-9DFC-E59126D5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2</cp:revision>
  <cp:lastPrinted>2022-05-16T14:54:00Z</cp:lastPrinted>
  <dcterms:created xsi:type="dcterms:W3CDTF">2024-05-29T09:45:00Z</dcterms:created>
  <dcterms:modified xsi:type="dcterms:W3CDTF">2024-05-29T09:45:00Z</dcterms:modified>
</cp:coreProperties>
</file>